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125</w:t>
      </w:r>
    </w:p>
    <w:p>
      <w:r>
        <w:t>Bundesgericht (BGE), 1983-10-17, DE</w:t>
      </w:r>
    </w:p>
    <w:p>
      <w:r>
        <w:rPr>
          <w:b/>
        </w:rPr>
        <w:t xml:space="preserve">Quelle: </w:t>
      </w:r>
      <w:r>
        <w:t>https://mcp.opencaselaw.ch/entscheid/bge_109 IV 125</w:t>
      </w:r>
    </w:p>
    <w:p>
      <w:r>
        <w:t>FR: ATF 109 IV 125</w:t>
      </w:r>
    </w:p>
    <w:p>
      <w:r>
        <w:t>IT: DTF 109 IV 125</w:t>
      </w:r>
    </w:p>
    <w:p>
      <w:pPr>
        <w:pStyle w:val="Heading2"/>
      </w:pPr>
      <w:r>
        <w:t>Regeste</w:t>
      </w:r>
    </w:p>
    <w:p>
      <w:r>
        <w:t>Regeste Art. 229 StGB; Unfall in einer Baugrube. 1. Nichtbeachtung von Richtlinien der Verordnung über die Unfallverhütung beim Graben- und Schachtbau sowie bei ähnlichen Arbeiten (SR 832.311.11) stellt eine Verletzung anerkannter Regeln der Baukunde dar. 2. Das in Art. 14 und 19 der genannten Verordnung über Böschungsneigungen und Verspriessungen Ausgeführte gilt nicht nur für schmale Vertiefungen, sondern sinngemäss für alle Grabungen, auch für Baugruben grösseren Ausmasses.</w:t>
      </w:r>
    </w:p>
    <w:p>
      <w:pPr>
        <w:pStyle w:val="Heading2"/>
      </w:pPr>
      <w:r>
        <w:t>Erwägungen</w:t>
      </w:r>
    </w:p>
    <w:p>
      <w:r>
        <w:rPr>
          <w:b/>
        </w:rPr>
        <w:t>E. 1</w:t>
      </w:r>
    </w:p>
    <w:p>
      <w:r>
        <w:t>Die angefochtene Verurteilung beruht auf dem Vorwurf, gemäss den in der Verordnung über die Unfallverhütung beim Graben- und Schachtbau sowie bei ähnlichen Arbeiten (vom 13. September 1963; SR 832.311.11) umschriebenen Regeln hätte BGE 109 IV 125 S. 127 im vorliegenden Fall die 2,1 m tiefe Grube verspriesst werden müssen, um der Gefahr eines Einsturzes zu begegnen. a) Diese bundesrätliche Verordnung unterscheidet bei den Grabarbeiten zwischen senkrecht abgeteuften Gräben und Schächten (Art. 13), welche bei einer Tiefe von über 1,5 m verspriesst werden müssen (Art. 19), und den nicht senkrecht ausgehobenen, nicht verspriessten Gräben und Schächten, welche mit einer der Standfestigkeit des Materials angepassten Neigung abzuböschen sind (Art. 14). Im vorliegenden Fall waren die Seitenwände der Grube senkrecht, sie wiesen keine dem Art. 14 der Verordnung entsprechende Böschungsneigung auf. Es waren keine Verspriessungen angebracht worden, weil der Beschwerdeführer und seine Mitarbeiter glaubten, angesichts der Festigkeit des Bodens sei dies nicht nötig. Dass eine sachgemässe Verspriessung den verhängnisvollen Unfall verhindert hätte, ist unbestritten. b) Mit der Nichtigkeitsbeschwerde wird geltend gemacht, die erwähnte Unfallverhütungsverordnung sei nur auf eigentliche Gräben und Schächte sowie auf ähnliche schmale Verteufungen im Erdreich anwendbar, nicht aber auf gewöhnliche, nicht enge Baugruben, in welchen der Bauarbeiter vor abstürzendem Wandmaterial zurückweichen könne. Aus diesem Grunde (Ausweichmöglichkeit) drängten sich in der Regel beim Aushub gewöhnlicher Baugruben keine besonderen Sicherheitsmassnahmen im Sinne der bundesrätlichen Verordnung auf. c) Sicher ist die spezifische Unfallgefahr bei engen Gräben und Schächten besonders gross, und die Bestimmungen der Verordnung befassen sich deshalb vor allem mit den Massnahmen beim Erstellen enger, tiefer Gräben. Daraus kann jedoch nicht abgeleitet werden, bei grösseren Baugruben sei der Sicherung der Wände und der Vermeidung der Einsturzgefahr nicht die gleiche Aufmerksamkeit zu schenken, weil der Bauarbeiter herabstürzendem Material ausweichen könne. Ob das rechtzeitige Ausweichen gelingt, hängt von zufälligen Faktoren ab (Standort, Aufmerksamkeit, Beweglichkeit). Wie verhängnisvoll ein relativ geringer Einsturz sein kann, auch wenn Platz zum Ausweichen vorhanden ist, zeigt der vorliegende Fall. Der Wortlaut der Verordnung stellt zwar die schmalen Vertiefungen (Gräben, Schächte, Schlitze) in den Vordergrund, doch enthält der Erlass keine Bestimmung, welche den Schluss zuliesse, bei Gruben von einem "genügenden" Ausmass (zum Ausweichen?) könne auf Massnahmen zur Sicherung der Wände verzichtet BGE 109 IV 125 S. 128 werden. Was in den Art. 14 und 19 der Verordnung über Böschungsneigungen und Verspriessungen festgelegt ist, gilt sinngemäss für alle Grabungen, auch für Baugruben grösseren Ausmasses. Dass die Einsturzgefahr im konkreten Fall grösser war, als man zunächst annehmen mochte, weil hinter einer abgebrochenen Mauer nicht gewachsener Boden, sondern aufgeschüttetes Terrain angeschnitten wurde, ist für die Frage der Strafbarkeit und das Mass des Verschuldens nicht entscheidend; denn die Fahrlässigkeit liegt darin, dass der Beschwerdeführer sich über die Unfallverhütungsvorschriften der erwähnten Verordnung hinwegsetzte. Ob er dabei das konkrete Risiko aus begreiflichen Gründen nicht richtig einschätzte, ist von untergeordneter Bedeutung. Die noch so gut vertretbare Meinung, ein Vorgehen sei nicht gefährlich, befreit nicht von der Pflicht zur Einhaltung der ohne Einschränkung geltenden Sicherheitsbestimmungen, welche ja gerade verhindern sollen, dass schwer erkennbare Risiken sich verwirklichen. Das Obergericht hat daher keine Bestimmung des Bundesrechts verletzt, indem es die Nichtbeachtung der Richtlinien der Verordnung vom 13. September 1963 als Verletzung einer anerkannten Regel der Baukunde im Sinne von Art. 229 StGB qualifizierte. Durch Missachtung der Regel, dass eine Grabung von mehr als 1,5 m Tiefe bei senkrechten Wänden verspriesst (oder dann abgeböscht) werden muss, verursachte der Beschwerdeführer fahrlässig eine Gefährdung für die auf dieser Baustelle tätigen Mitarbeiter. Dass er die Frage einer Verspriessung mit seinen Untergebenen diskutiert hatte, vermag den Beschwerdeführer als verantwortlichen Polier strafrechtlich nicht zu entlasten, beweist aber, dass er sich das Risiko überlegte; das gefährliche Unterlassen der Spriessung war nicht selbstverständlich. In fehlerhafter Einschätzung der Lage und unter Missachtung der Vorschriften der Unfallverhütungsverordnung entschloss er sich zu dieser Vereinfachung der Arbeit.</w:t>
      </w:r>
    </w:p>
    <w:p>
      <w:r>
        <w:rPr>
          <w:b/>
        </w:rPr>
        <w:t>E. 2</w:t>
      </w:r>
    </w:p>
    <w:p>
      <w:r>
        <w:t>Die fahrlässige Nichteinhaltung von Regeln der Baukunde hatte zur Folge, dass einer der in der Grube Arbeitenden tödlich verletzt, die übrigen am Aushub Beteiligten gefährdet wurden. Die Vorinstanz hat daher richtigerweise Art. 229 Abs. 2 StGB und Art. 117 StGB in Konkurrenz zur Anwendung gebracht (vgl. SJZ 1967/63 S. 279/80).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